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June 6, 2026</w:t>
      </w:r>
    </w:p>
    <w:p>
      <w:pPr>
        <w:pStyle w:val="Body"/>
        <w:bidi w:val="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The Honorable Sean Duffy, Secretary of Transportation</w:t>
      </w:r>
    </w:p>
    <w:p>
      <w:pPr>
        <w:pStyle w:val="Body"/>
        <w:bidi w:val="0"/>
        <w:spacing w:after="16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U.S. Department of Transportation, 1200 New Jersey Avenue SE, Washington, D.C. 20590</w:t>
      </w:r>
    </w:p>
    <w:p>
      <w:pPr>
        <w:pStyle w:val="Body"/>
        <w:bidi w:val="0"/>
        <w:spacing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p>
    <w:p>
      <w:pPr>
        <w:pStyle w:val="Body"/>
        <w:bidi w:val="0"/>
        <w:spacing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b w:val="1"/>
          <w:bCs w:val="1"/>
          <w:outline w:val="0"/>
          <w:color w:val="000000"/>
          <w:sz w:val="21"/>
          <w:szCs w:val="21"/>
          <w:u w:color="000000"/>
          <w:rtl w:val="0"/>
          <w:lang w:val="en-US"/>
          <w14:textFill>
            <w14:solidFill>
              <w14:srgbClr w14:val="000000"/>
            </w14:solidFill>
          </w14:textFill>
        </w:rPr>
        <w:t xml:space="preserve">RE: Opposition to City of Encinitas Grant Applications </w:t>
      </w:r>
      <w:r>
        <w:rPr>
          <w:rFonts w:ascii="Arial" w:hAnsi="Arial" w:hint="default"/>
          <w:b w:val="1"/>
          <w:bCs w:val="1"/>
          <w:outline w:val="0"/>
          <w:color w:val="000000"/>
          <w:sz w:val="21"/>
          <w:szCs w:val="21"/>
          <w:u w:color="000000"/>
          <w:rtl w:val="0"/>
          <w:lang w:val="en-US"/>
          <w14:textFill>
            <w14:solidFill>
              <w14:srgbClr w14:val="000000"/>
            </w14:solidFill>
          </w14:textFill>
        </w:rPr>
        <w:t xml:space="preserve">— </w:t>
      </w:r>
      <w:r>
        <w:rPr>
          <w:rFonts w:ascii="Arial" w:hAnsi="Arial"/>
          <w:b w:val="1"/>
          <w:bCs w:val="1"/>
          <w:outline w:val="0"/>
          <w:color w:val="000000"/>
          <w:sz w:val="21"/>
          <w:szCs w:val="21"/>
          <w:u w:color="000000"/>
          <w:rtl w:val="0"/>
          <w14:textFill>
            <w14:solidFill>
              <w14:srgbClr w14:val="000000"/>
            </w14:solidFill>
          </w14:textFill>
        </w:rPr>
        <w:t xml:space="preserve">FSP-National (FR-FSP-25-006) &amp; CRISI (FR-CRS-26-001) </w:t>
      </w:r>
      <w:r>
        <w:rPr>
          <w:rFonts w:ascii="Arial" w:hAnsi="Arial" w:hint="default"/>
          <w:b w:val="1"/>
          <w:bCs w:val="1"/>
          <w:outline w:val="0"/>
          <w:color w:val="000000"/>
          <w:sz w:val="21"/>
          <w:szCs w:val="21"/>
          <w:u w:color="000000"/>
          <w:rtl w:val="0"/>
          <w:lang w:val="en-US"/>
          <w14:textFill>
            <w14:solidFill>
              <w14:srgbClr w14:val="000000"/>
            </w14:solidFill>
          </w14:textFill>
        </w:rPr>
        <w:t xml:space="preserve">— </w:t>
      </w:r>
      <w:r>
        <w:rPr>
          <w:rFonts w:ascii="Arial" w:hAnsi="Arial"/>
          <w:b w:val="1"/>
          <w:bCs w:val="1"/>
          <w:outline w:val="0"/>
          <w:color w:val="000000"/>
          <w:sz w:val="21"/>
          <w:szCs w:val="21"/>
          <w:u w:color="000000"/>
          <w:rtl w:val="0"/>
          <w:lang w:val="en-US"/>
          <w14:textFill>
            <w14:solidFill>
              <w14:srgbClr w14:val="000000"/>
            </w14:solidFill>
          </w14:textFill>
        </w:rPr>
        <w:t>Leucadia At-Grade Pedestrian Crossing Project</w:t>
      </w:r>
    </w:p>
    <w:p>
      <w:pPr>
        <w:pStyle w:val="Body"/>
        <w:bidi w:val="0"/>
        <w:spacing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b w:val="1"/>
          <w:bCs w:val="1"/>
          <w:outline w:val="0"/>
          <w:color w:val="000000"/>
          <w:sz w:val="21"/>
          <w:szCs w:val="21"/>
          <w:u w:color="000000"/>
          <w:rtl w:val="0"/>
          <w14:textFill>
            <w14:solidFill>
              <w14:srgbClr w14:val="000000"/>
            </w14:solidFill>
          </w14:textFill>
        </w:rPr>
        <w:t xml:space="preserve">CC: </w:t>
      </w:r>
      <w:r>
        <w:rPr>
          <w:rFonts w:ascii="Arial" w:hAnsi="Arial"/>
          <w:outline w:val="0"/>
          <w:color w:val="000000"/>
          <w:sz w:val="21"/>
          <w:szCs w:val="21"/>
          <w:u w:color="000000"/>
          <w:rtl w:val="0"/>
          <w:lang w:val="en-US"/>
          <w14:textFill>
            <w14:solidFill>
              <w14:srgbClr w14:val="000000"/>
            </w14:solidFill>
          </w14:textFill>
        </w:rPr>
        <w:t xml:space="preserve">FRA FSP Support Team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FRA-NOFO-Support@dot.gov; Department of Government Efficiency (DOGE); Office of Management and Budget</w:t>
      </w:r>
    </w:p>
    <w:p>
      <w:pPr>
        <w:pStyle w:val="Body"/>
        <w:bidi w:val="0"/>
        <w:spacing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p>
    <w:tbl>
      <w:tblPr>
        <w:tblW w:w="100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0080"/>
      </w:tblGrid>
      <w:tr>
        <w:tblPrEx>
          <w:shd w:val="clear" w:color="auto" w:fill="cad1d7"/>
        </w:tblPrEx>
        <w:trPr>
          <w:trHeight w:val="1213" w:hRule="atLeast"/>
        </w:trPr>
        <w:tc>
          <w:tcPr>
            <w:tcW w:type="dxa" w:w="10080"/>
            <w:tcBorders>
              <w:top w:val="single" w:color="c00000" w:sz="8" w:space="0" w:shadow="0" w:frame="0"/>
              <w:left w:val="single" w:color="c00000" w:sz="8" w:space="0" w:shadow="0" w:frame="0"/>
              <w:bottom w:val="single" w:color="c00000" w:sz="8" w:space="0" w:shadow="0" w:frame="0"/>
              <w:right w:val="single" w:color="c00000" w:sz="8" w:space="0" w:shadow="0" w:frame="0"/>
            </w:tcBorders>
            <w:shd w:val="clear" w:color="auto" w:fill="fff2cc"/>
            <w:tcMar>
              <w:top w:type="dxa" w:w="80"/>
              <w:left w:type="dxa" w:w="80"/>
              <w:bottom w:type="dxa" w:w="80"/>
              <w:right w:type="dxa" w:w="80"/>
            </w:tcMar>
            <w:vAlign w:val="top"/>
          </w:tcPr>
          <w:p>
            <w:pPr>
              <w:pStyle w:val="Body"/>
              <w:bidi w:val="0"/>
              <w:ind w:left="0" w:right="0" w:firstLine="0"/>
              <w:jc w:val="left"/>
              <w:rPr>
                <w:rtl w:val="0"/>
              </w:rPr>
            </w:pPr>
            <w:r>
              <w:rPr>
                <w:rFonts w:ascii="Arial" w:hAnsi="Arial"/>
                <w:sz w:val="21"/>
                <w:szCs w:val="21"/>
                <w:u w:color="000000"/>
                <w:shd w:val="nil" w:color="auto" w:fill="auto"/>
                <w:rtl w:val="0"/>
                <w:lang w:val="en-US"/>
              </w:rPr>
              <w:t xml:space="preserve">DOGE ALERT: The City of Encinitas is asking the federal government to fund at-grade rail crossings that its own senior engineer has acknowledged will likely need to be </w:t>
            </w:r>
            <w:r>
              <w:rPr>
                <w:rFonts w:ascii="Arial" w:hAnsi="Arial" w:hint="default"/>
                <w:sz w:val="21"/>
                <w:szCs w:val="21"/>
                <w:u w:color="000000"/>
                <w:shd w:val="nil" w:color="auto" w:fill="auto"/>
                <w:rtl w:val="0"/>
                <w:lang w:val="en-US"/>
              </w:rPr>
              <w:t>“</w:t>
            </w:r>
            <w:r>
              <w:rPr>
                <w:rFonts w:ascii="Arial" w:hAnsi="Arial"/>
                <w:sz w:val="21"/>
                <w:szCs w:val="21"/>
                <w:u w:color="000000"/>
                <w:shd w:val="nil" w:color="auto" w:fill="auto"/>
                <w:rtl w:val="0"/>
                <w:lang w:val="en-US"/>
              </w:rPr>
              <w:t>partially or fully removed/modified</w:t>
            </w:r>
            <w:r>
              <w:rPr>
                <w:rFonts w:ascii="Arial" w:hAnsi="Arial" w:hint="default"/>
                <w:sz w:val="21"/>
                <w:szCs w:val="21"/>
                <w:u w:color="000000"/>
                <w:shd w:val="nil" w:color="auto" w:fill="auto"/>
                <w:rtl w:val="0"/>
                <w:lang w:val="en-US"/>
              </w:rPr>
              <w:t xml:space="preserve">” </w:t>
            </w:r>
            <w:r>
              <w:rPr>
                <w:rFonts w:ascii="Arial" w:hAnsi="Arial"/>
                <w:sz w:val="21"/>
                <w:szCs w:val="21"/>
                <w:u w:color="000000"/>
                <w:shd w:val="nil" w:color="auto" w:fill="auto"/>
                <w:rtl w:val="0"/>
                <w:lang w:val="en-US"/>
              </w:rPr>
              <w:t>for SANDAG</w:t>
            </w:r>
            <w:r>
              <w:rPr>
                <w:rFonts w:ascii="Arial" w:hAnsi="Arial" w:hint="default"/>
                <w:sz w:val="21"/>
                <w:szCs w:val="21"/>
                <w:u w:color="000000"/>
                <w:shd w:val="nil" w:color="auto" w:fill="auto"/>
                <w:rtl w:val="0"/>
                <w:lang w:val="en-US"/>
              </w:rPr>
              <w:t>’</w:t>
            </w:r>
            <w:r>
              <w:rPr>
                <w:rFonts w:ascii="Arial" w:hAnsi="Arial"/>
                <w:sz w:val="21"/>
                <w:szCs w:val="21"/>
                <w:u w:color="000000"/>
                <w:shd w:val="nil" w:color="auto" w:fill="auto"/>
                <w:rtl w:val="0"/>
                <w:lang w:val="en-US"/>
              </w:rPr>
              <w:t xml:space="preserve">s double-track expansion </w:t>
            </w:r>
            <w:r>
              <w:rPr>
                <w:rFonts w:ascii="Arial" w:hAnsi="Arial" w:hint="default"/>
                <w:sz w:val="21"/>
                <w:szCs w:val="21"/>
                <w:u w:color="000000"/>
                <w:shd w:val="nil" w:color="auto" w:fill="auto"/>
                <w:rtl w:val="0"/>
                <w:lang w:val="en-US"/>
              </w:rPr>
              <w:t xml:space="preserve">— </w:t>
            </w:r>
            <w:r>
              <w:rPr>
                <w:rFonts w:ascii="Arial" w:hAnsi="Arial"/>
                <w:sz w:val="21"/>
                <w:szCs w:val="21"/>
                <w:u w:color="000000"/>
                <w:shd w:val="nil" w:color="auto" w:fill="auto"/>
                <w:rtl w:val="0"/>
                <w:lang w:val="en-US"/>
              </w:rPr>
              <w:t xml:space="preserve">calling that outcome </w:t>
            </w:r>
            <w:r>
              <w:rPr>
                <w:rFonts w:ascii="Arial" w:hAnsi="Arial" w:hint="default"/>
                <w:sz w:val="21"/>
                <w:szCs w:val="21"/>
                <w:u w:color="000000"/>
                <w:shd w:val="nil" w:color="auto" w:fill="auto"/>
                <w:rtl w:val="0"/>
                <w:lang w:val="en-US"/>
              </w:rPr>
              <w:t>“</w:t>
            </w:r>
            <w:r>
              <w:rPr>
                <w:rFonts w:ascii="Arial" w:hAnsi="Arial"/>
                <w:sz w:val="21"/>
                <w:szCs w:val="21"/>
                <w:u w:color="000000"/>
                <w:shd w:val="nil" w:color="auto" w:fill="auto"/>
                <w:rtl w:val="0"/>
                <w:lang w:val="en-US"/>
              </w:rPr>
              <w:t>a waste of resources.</w:t>
            </w:r>
            <w:r>
              <w:rPr>
                <w:rFonts w:ascii="Arial" w:hAnsi="Arial" w:hint="default"/>
                <w:sz w:val="21"/>
                <w:szCs w:val="21"/>
                <w:u w:color="000000"/>
                <w:shd w:val="nil" w:color="auto" w:fill="auto"/>
                <w:rtl w:val="0"/>
                <w:lang w:val="en-US"/>
              </w:rPr>
              <w:t xml:space="preserve">” </w:t>
            </w:r>
            <w:r>
              <w:rPr>
                <w:rFonts w:ascii="Arial" w:hAnsi="Arial"/>
                <w:sz w:val="21"/>
                <w:szCs w:val="21"/>
                <w:u w:color="000000"/>
                <w:shd w:val="nil" w:color="auto" w:fill="auto"/>
                <w:rtl w:val="0"/>
                <w:lang w:val="en-US"/>
              </w:rPr>
              <w:t>This application asks taxpayers to pay for infrastructure twice. It is precisely the kind of duplicative, fiscally unsound spending DOGE was created to stop.</w:t>
            </w:r>
          </w:p>
        </w:tc>
      </w:tr>
    </w:tbl>
    <w:p>
      <w:pPr>
        <w:pStyle w:val="Body"/>
        <w:widowControl w:val="0"/>
        <w:bidi w:val="0"/>
        <w:spacing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p>
    <w:p>
      <w:pPr>
        <w:pStyle w:val="Body"/>
        <w:bidi w:val="0"/>
        <w:spacing w:after="16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cs="Arial" w:hAnsi="Arial" w:eastAsia="Arial"/>
          <w:outline w:val="0"/>
          <w:color w:val="000000"/>
          <w:sz w:val="21"/>
          <w:szCs w:val="21"/>
          <w:u w:color="000000"/>
          <w:rtl w:val="0"/>
          <w14:textFill>
            <w14:solidFill>
              <w14:srgbClr w14:val="000000"/>
            </w14:solidFill>
          </w14:textFill>
        </w:rPr>
        <w:br w:type="textWrapping"/>
      </w:r>
      <w:r>
        <w:rPr>
          <w:rFonts w:ascii="Arial" w:hAnsi="Arial"/>
          <w:outline w:val="0"/>
          <w:color w:val="000000"/>
          <w:sz w:val="21"/>
          <w:szCs w:val="21"/>
          <w:u w:color="000000"/>
          <w:rtl w:val="0"/>
          <w:lang w:val="en-US"/>
          <w14:textFill>
            <w14:solidFill>
              <w14:srgbClr w14:val="000000"/>
            </w14:solidFill>
          </w14:textFill>
        </w:rPr>
        <w:t>We, the undersigned residents and stakeholders of Leucadia, Encinitas, California, formally oppose federal funding for the City of Encinitas</w:t>
      </w:r>
      <w:r>
        <w:rPr>
          <w:rFonts w:ascii="Arial" w:hAnsi="Arial" w:hint="default"/>
          <w:outline w:val="0"/>
          <w:color w:val="000000"/>
          <w:sz w:val="21"/>
          <w:szCs w:val="21"/>
          <w:u w:color="000000"/>
          <w:rtl w:val="1"/>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 Leucadia At-Grade Pedestrian Crossing Project under both the FSP-National and CRISI programs. Official admissions from the City</w:t>
      </w:r>
      <w:r>
        <w:rPr>
          <w:rFonts w:ascii="Arial" w:hAnsi="Arial" w:hint="default"/>
          <w:outline w:val="0"/>
          <w:color w:val="000000"/>
          <w:sz w:val="21"/>
          <w:szCs w:val="21"/>
          <w:u w:color="000000"/>
          <w:rtl w:val="1"/>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 xml:space="preserve">s own Engineering Department reveal that this application seeks federal capital for a short-term stopgap before a regional infrastructure decision has been made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one that will likely render the funded infrastructure obsolete. We request denial on the following grounds.</w:t>
      </w:r>
    </w:p>
    <w:p>
      <w:pPr>
        <w:pStyle w:val="Body"/>
        <w:bidi w:val="0"/>
        <w:spacing w:before="240"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 xml:space="preserve">I.  DOGE Criterion: Duplicative Spending </w:t>
      </w:r>
      <w:r>
        <w:rPr>
          <w:rFonts w:ascii="Arial" w:hAnsi="Arial" w:hint="default"/>
          <w:b w:val="1"/>
          <w:bCs w:val="1"/>
          <w:outline w:val="0"/>
          <w:color w:val="000000"/>
          <w:sz w:val="24"/>
          <w:szCs w:val="24"/>
          <w:u w:color="000000"/>
          <w:rtl w:val="0"/>
          <w:lang w:val="en-US"/>
          <w14:textFill>
            <w14:solidFill>
              <w14:srgbClr w14:val="000000"/>
            </w14:solidFill>
          </w14:textFill>
        </w:rPr>
        <w:t xml:space="preserve">— </w:t>
      </w:r>
      <w:r>
        <w:rPr>
          <w:rFonts w:ascii="Arial" w:hAnsi="Arial"/>
          <w:b w:val="1"/>
          <w:bCs w:val="1"/>
          <w:outline w:val="0"/>
          <w:color w:val="000000"/>
          <w:sz w:val="24"/>
          <w:szCs w:val="24"/>
          <w:u w:color="000000"/>
          <w:rtl w:val="0"/>
          <w:lang w:val="en-US"/>
          <w14:textFill>
            <w14:solidFill>
              <w14:srgbClr w14:val="000000"/>
            </w14:solidFill>
          </w14:textFill>
        </w:rPr>
        <w:t>The City</w:t>
      </w:r>
      <w:r>
        <w:rPr>
          <w:rFonts w:ascii="Arial" w:hAnsi="Arial" w:hint="default"/>
          <w:b w:val="1"/>
          <w:bCs w:val="1"/>
          <w:outline w:val="0"/>
          <w:color w:val="000000"/>
          <w:sz w:val="24"/>
          <w:szCs w:val="24"/>
          <w:u w:color="000000"/>
          <w:rtl w:val="1"/>
          <w14:textFill>
            <w14:solidFill>
              <w14:srgbClr w14:val="000000"/>
            </w14:solidFill>
          </w14:textFill>
        </w:rPr>
        <w:t>’</w:t>
      </w:r>
      <w:r>
        <w:rPr>
          <w:rFonts w:ascii="Arial" w:hAnsi="Arial"/>
          <w:b w:val="1"/>
          <w:bCs w:val="1"/>
          <w:outline w:val="0"/>
          <w:color w:val="000000"/>
          <w:sz w:val="24"/>
          <w:szCs w:val="24"/>
          <w:u w:color="000000"/>
          <w:rtl w:val="0"/>
          <w:lang w:val="en-US"/>
          <w14:textFill>
            <w14:solidFill>
              <w14:srgbClr w14:val="000000"/>
            </w14:solidFill>
          </w14:textFill>
        </w:rPr>
        <w:t>s Own Engineer Called This a Waste</w:t>
      </w:r>
    </w:p>
    <w:p>
      <w:pPr>
        <w:pStyle w:val="Body"/>
        <w:bidi w:val="0"/>
        <w:spacing w:after="16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On May 4, 2026, City Senior Engineer Carlos Baldenegro, P.E. wrote in official correspondence:</w:t>
      </w:r>
    </w:p>
    <w:p>
      <w:pPr>
        <w:pStyle w:val="Body"/>
        <w:pBdr>
          <w:top w:val="nil"/>
          <w:left w:val="single" w:color="c00000" w:sz="12" w:space="6" w:shadow="0" w:frame="0"/>
          <w:bottom w:val="nil"/>
          <w:right w:val="nil"/>
        </w:pBdr>
        <w:bidi w:val="0"/>
        <w:spacing w:after="160"/>
        <w:ind w:left="48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hint="default"/>
          <w:i w:val="1"/>
          <w:iCs w:val="1"/>
          <w:outline w:val="0"/>
          <w:color w:val="000000"/>
          <w:sz w:val="21"/>
          <w:szCs w:val="21"/>
          <w:u w:color="000000"/>
          <w:rtl w:val="1"/>
          <w:lang w:val="ar-SA" w:bidi="ar-SA"/>
          <w14:textFill>
            <w14:solidFill>
              <w14:srgbClr w14:val="000000"/>
            </w14:solidFill>
          </w14:textFill>
        </w:rPr>
        <w:t>“</w:t>
      </w:r>
      <w:r>
        <w:rPr>
          <w:rFonts w:ascii="Arial" w:hAnsi="Arial"/>
          <w:i w:val="1"/>
          <w:iCs w:val="1"/>
          <w:outline w:val="0"/>
          <w:color w:val="000000"/>
          <w:sz w:val="21"/>
          <w:szCs w:val="21"/>
          <w:u w:color="000000"/>
          <w:rtl w:val="0"/>
          <w:lang w:val="en-US"/>
          <w14:textFill>
            <w14:solidFill>
              <w14:srgbClr w14:val="000000"/>
            </w14:solidFill>
          </w14:textFill>
        </w:rPr>
        <w:t>Going through the expense of building structures above or below ground only to have to partially or fully remove/modify them to accommodate the second track would be a waste of resources given what we know about this upcoming project.</w:t>
      </w:r>
      <w:r>
        <w:rPr>
          <w:rFonts w:ascii="Arial" w:hAnsi="Arial" w:hint="default"/>
          <w:i w:val="1"/>
          <w:iCs w:val="1"/>
          <w:outline w:val="0"/>
          <w:color w:val="000000"/>
          <w:sz w:val="21"/>
          <w:szCs w:val="21"/>
          <w:u w:color="000000"/>
          <w:rtl w:val="0"/>
          <w14:textFill>
            <w14:solidFill>
              <w14:srgbClr w14:val="000000"/>
            </w14:solidFill>
          </w14:textFill>
        </w:rPr>
        <w:t>”</w:t>
      </w:r>
    </w:p>
    <w:p>
      <w:pPr>
        <w:pStyle w:val="Body"/>
        <w:bidi w:val="0"/>
        <w:spacing w:after="16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 xml:space="preserve">He then applied the same logic to justify at-grade crossings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which face the identical double-track conflict. SANDAG</w:t>
      </w:r>
      <w:r>
        <w:rPr>
          <w:rFonts w:ascii="Arial" w:hAnsi="Arial" w:hint="default"/>
          <w:outline w:val="0"/>
          <w:color w:val="000000"/>
          <w:sz w:val="21"/>
          <w:szCs w:val="21"/>
          <w:u w:color="000000"/>
          <w:rtl w:val="1"/>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 $166 million Batiquitos Lagoon Double Track Project is actively under construction and will reach the Leucadia corridor. The engineer admitted SANDAG has not confirmed which side of the existing track the second track will go. The federal government is being asked to fund permanent infrastructure before the underlying track alignment has been determined. When SANDAG</w:t>
      </w:r>
      <w:r>
        <w:rPr>
          <w:rFonts w:ascii="Arial" w:hAnsi="Arial" w:hint="default"/>
          <w:outline w:val="0"/>
          <w:color w:val="000000"/>
          <w:sz w:val="21"/>
          <w:szCs w:val="21"/>
          <w:u w:color="000000"/>
          <w:rtl w:val="1"/>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 second track arrives, federal grant funds will have purchased infrastructure that must be redesigned or removed. This is the definition of duplicative government spending.</w:t>
      </w:r>
    </w:p>
    <w:p>
      <w:pPr>
        <w:pStyle w:val="Body"/>
        <w:bidi w:val="0"/>
        <w:spacing w:before="240"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II.  Project Readiness Failure: 30% Design, No Confirmed Noise Mitigation Vendor</w:t>
      </w:r>
    </w:p>
    <w:p>
      <w:pPr>
        <w:pStyle w:val="Body"/>
        <w:bidi w:val="0"/>
        <w:spacing w:after="16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 xml:space="preserve">As of June 2026, the City confirmed project design is approximately 30% complete, with 70% expected by end of summer and 100% by end of year. The FSP-National and CRISI programs require applicants to demonstrate technical capacity to execute the project as designed. At the time of application submission, the city had no confirmed vendor for the Pedestrian Audible Warning System (PAWS)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the noise mitigation technology the city has publicly committed is a prerequisite for the project to proceed. The city</w:t>
      </w:r>
      <w:r>
        <w:rPr>
          <w:rFonts w:ascii="Arial" w:hAnsi="Arial" w:hint="default"/>
          <w:outline w:val="0"/>
          <w:color w:val="000000"/>
          <w:sz w:val="21"/>
          <w:szCs w:val="21"/>
          <w:u w:color="000000"/>
          <w:rtl w:val="1"/>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 xml:space="preserve">s position is that PAWS is </w:t>
      </w:r>
      <w:r>
        <w:rPr>
          <w:rFonts w:ascii="Arial" w:hAnsi="Arial" w:hint="default"/>
          <w:outline w:val="0"/>
          <w:color w:val="000000"/>
          <w:sz w:val="21"/>
          <w:szCs w:val="21"/>
          <w:u w:color="000000"/>
          <w:rtl w:val="1"/>
          <w:lang w:val="ar-SA" w:bidi="ar-SA"/>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simple to build</w:t>
      </w:r>
      <w:r>
        <w:rPr>
          <w:rFonts w:ascii="Arial" w:hAnsi="Arial" w:hint="default"/>
          <w:outline w:val="0"/>
          <w:color w:val="000000"/>
          <w:sz w:val="21"/>
          <w:szCs w:val="21"/>
          <w:u w:color="000000"/>
          <w:rtl w:val="0"/>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and a vendor can be found. That is an assumption, not a demonstrated technical capacity. Federal capital should not be committed to a 30%-designed project with an unconfirmed noise mitigation supply chain.</w:t>
      </w:r>
    </w:p>
    <w:p>
      <w:pPr>
        <w:pStyle w:val="Body"/>
        <w:bidi w:val="0"/>
        <w:spacing w:before="240"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III.  Regional Corridor Inconsistency: SANDAG Compatibility Unconfirmed</w:t>
      </w:r>
    </w:p>
    <w:p>
      <w:pPr>
        <w:pStyle w:val="Body"/>
        <w:bidi w:val="0"/>
        <w:spacing w:after="16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Both programs prioritize integration with regional rail corridor development. The City</w:t>
      </w:r>
      <w:r>
        <w:rPr>
          <w:rFonts w:ascii="Arial" w:hAnsi="Arial" w:hint="default"/>
          <w:outline w:val="0"/>
          <w:color w:val="000000"/>
          <w:sz w:val="21"/>
          <w:szCs w:val="21"/>
          <w:u w:color="000000"/>
          <w:rtl w:val="1"/>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 xml:space="preserve">s own CPUC filing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 xml:space="preserve">Application 25-03-014, Decision 26-02-010, page 7, Rule 3.7(c)(2), footnote 11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 xml:space="preserve">cited </w:t>
      </w:r>
      <w:r>
        <w:rPr>
          <w:rFonts w:ascii="Arial" w:hAnsi="Arial" w:hint="default"/>
          <w:outline w:val="0"/>
          <w:color w:val="000000"/>
          <w:sz w:val="21"/>
          <w:szCs w:val="21"/>
          <w:u w:color="000000"/>
          <w:rtl w:val="1"/>
          <w:lang w:val="ar-SA" w:bidi="ar-SA"/>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San Diego Association of Governments proposed future double track expansion</w:t>
      </w:r>
      <w:r>
        <w:rPr>
          <w:rFonts w:ascii="Arial" w:hAnsi="Arial" w:hint="default"/>
          <w:outline w:val="0"/>
          <w:color w:val="000000"/>
          <w:sz w:val="21"/>
          <w:szCs w:val="21"/>
          <w:u w:color="000000"/>
          <w:rtl w:val="0"/>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 xml:space="preserve">as a reason grade separation was not practicable. The city then applied for federal funding for at-grade crossings in the same corridor subject to the identical conflict. NCTD filed a letter of support with the application. SANDAG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 xml:space="preserve">the agency actively constructing the double-track program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did not. FRA should require written confirmation from SANDAG that the proposed at-grade crossings are compatible with the North Coast Corridor double-track program before any award is made.</w:t>
      </w:r>
    </w:p>
    <w:p>
      <w:pPr>
        <w:pStyle w:val="Body"/>
        <w:bidi w:val="0"/>
        <w:spacing w:before="240"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IV.  Safety Data Does Not Support the Application</w:t>
      </w:r>
      <w:r>
        <w:rPr>
          <w:rFonts w:ascii="Arial" w:hAnsi="Arial" w:hint="default"/>
          <w:b w:val="1"/>
          <w:bCs w:val="1"/>
          <w:outline w:val="0"/>
          <w:color w:val="000000"/>
          <w:sz w:val="24"/>
          <w:szCs w:val="24"/>
          <w:u w:color="000000"/>
          <w:rtl w:val="1"/>
          <w14:textFill>
            <w14:solidFill>
              <w14:srgbClr w14:val="000000"/>
            </w14:solidFill>
          </w14:textFill>
        </w:rPr>
        <w:t>’</w:t>
      </w:r>
      <w:r>
        <w:rPr>
          <w:rFonts w:ascii="Arial" w:hAnsi="Arial"/>
          <w:b w:val="1"/>
          <w:bCs w:val="1"/>
          <w:outline w:val="0"/>
          <w:color w:val="000000"/>
          <w:sz w:val="24"/>
          <w:szCs w:val="24"/>
          <w:u w:color="000000"/>
          <w:rtl w:val="0"/>
          <w:lang w:val="fr-FR"/>
          <w14:textFill>
            <w14:solidFill>
              <w14:srgbClr w14:val="000000"/>
            </w14:solidFill>
          </w14:textFill>
        </w:rPr>
        <w:t>s Premise</w:t>
      </w:r>
    </w:p>
    <w:p>
      <w:pPr>
        <w:pStyle w:val="Body"/>
        <w:bidi w:val="0"/>
        <w:spacing w:after="16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FRA</w:t>
      </w:r>
      <w:r>
        <w:rPr>
          <w:rFonts w:ascii="Arial" w:hAnsi="Arial" w:hint="default"/>
          <w:outline w:val="0"/>
          <w:color w:val="000000"/>
          <w:sz w:val="21"/>
          <w:szCs w:val="21"/>
          <w:u w:color="000000"/>
          <w:rtl w:val="1"/>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 xml:space="preserve">s own research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 xml:space="preserve">cited in GAO-25-107115 (April 2025) referencing the 2018 FRA Report to Congress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shows 74% of pedestrian trespassing casualties occur within 1,000 feet of an existing at-grade crossing. The applicant should be required to demonstrate how the proposed crossings will achieve a net reduction in trespassing incidents given this documented proximity pattern. Furthermore, the proposed noise mitigation relies on a technology whose primary U.S. manufacturer, Quiet Zone Technologies of Benbrook, Texas, has gone out of business. Edmonds, Washington paid $421,000 for the same system; it fails in wet weather and cannot be repaired. When it fails, trains revert to full locomotive horns.</w:t>
      </w:r>
    </w:p>
    <w:p>
      <w:pPr>
        <w:pStyle w:val="Body"/>
        <w:bidi w:val="0"/>
        <w:spacing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p>
    <w:p>
      <w:pPr>
        <w:pStyle w:val="Body"/>
        <w:pBdr>
          <w:top w:val="single" w:color="1f4e79" w:sz="6" w:space="0" w:shadow="0" w:frame="0"/>
          <w:left w:val="nil"/>
          <w:bottom w:val="nil"/>
          <w:right w:val="nil"/>
        </w:pBdr>
        <w:bidi w:val="0"/>
        <w:spacing w:before="160"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b w:val="1"/>
          <w:bCs w:val="1"/>
          <w:outline w:val="0"/>
          <w:color w:val="000000"/>
          <w:sz w:val="24"/>
          <w:szCs w:val="24"/>
          <w:u w:color="000000"/>
          <w:rtl w:val="0"/>
          <w:lang w:val="it-IT"/>
          <w14:textFill>
            <w14:solidFill>
              <w14:srgbClr w14:val="000000"/>
            </w14:solidFill>
          </w14:textFill>
        </w:rPr>
        <w:t>Conclusion</w:t>
      </w:r>
    </w:p>
    <w:p>
      <w:pPr>
        <w:pStyle w:val="Body"/>
        <w:bidi w:val="0"/>
        <w:spacing w:after="200"/>
        <w:ind w:left="0" w:right="0" w:firstLine="0"/>
        <w:jc w:val="left"/>
        <w:rPr>
          <w:rFonts w:ascii="Arial" w:cs="Arial" w:hAnsi="Arial" w:eastAsia="Arial"/>
          <w:outline w:val="0"/>
          <w:color w:val="000000"/>
          <w:sz w:val="21"/>
          <w:szCs w:val="21"/>
          <w:u w:color="000000"/>
          <w:rtl w:val="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This project is an engineering stopgap designed to hedge against local planning uncertainty at federal expense. The city</w:t>
      </w:r>
      <w:r>
        <w:rPr>
          <w:rFonts w:ascii="Arial" w:hAnsi="Arial" w:hint="default"/>
          <w:outline w:val="0"/>
          <w:color w:val="000000"/>
          <w:sz w:val="21"/>
          <w:szCs w:val="21"/>
          <w:u w:color="000000"/>
          <w:rtl w:val="1"/>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 own engineer acknowledged the at-grade crossings may need to be removed for SANDAG</w:t>
      </w:r>
      <w:r>
        <w:rPr>
          <w:rFonts w:ascii="Arial" w:hAnsi="Arial" w:hint="default"/>
          <w:outline w:val="0"/>
          <w:color w:val="000000"/>
          <w:sz w:val="21"/>
          <w:szCs w:val="21"/>
          <w:u w:color="000000"/>
          <w:rtl w:val="1"/>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 second track. The project has no confirmed noise mitigation vendor, is 30% designed, and lacks SANDAG compatibility confirmation. Federal capital should not be committed under these conditions. We urge the FRA to deny both the FSP-National and CRISI applications and to require SANDAG compatibility confirmation, a secured PAWS vendor, and a demonstrated path to net safety improvement before any future consideration.</w:t>
      </w:r>
    </w:p>
    <w:p>
      <w:pPr>
        <w:pStyle w:val="Body"/>
        <w:bidi w:val="0"/>
        <w:spacing w:after="80"/>
        <w:ind w:left="0" w:right="0" w:firstLine="0"/>
        <w:jc w:val="left"/>
        <w:rPr>
          <w:rFonts w:ascii="Arial" w:cs="Arial" w:hAnsi="Arial" w:eastAsia="Arial"/>
          <w:outline w:val="0"/>
          <w:color w:val="000000"/>
          <w:sz w:val="21"/>
          <w:szCs w:val="21"/>
          <w:u w:color="000000"/>
          <w:rtl w:val="0"/>
          <w14:textFill>
            <w14:solidFill>
              <w14:srgbClr w14:val="000000"/>
            </w14:solidFill>
          </w14:textFill>
        </w:rPr>
      </w:pPr>
    </w:p>
    <w:p>
      <w:pPr>
        <w:pStyle w:val="Body"/>
        <w:bidi w:val="0"/>
        <w:spacing w:after="80"/>
        <w:ind w:left="0" w:right="0" w:firstLine="0"/>
        <w:jc w:val="left"/>
        <w:rPr>
          <w:rtl w:val="0"/>
        </w:rPr>
      </w:pPr>
      <w:r>
        <w:rPr>
          <w:rFonts w:ascii="Arial" w:hAnsi="Arial"/>
          <w:outline w:val="0"/>
          <w:color w:val="000000"/>
          <w:sz w:val="21"/>
          <w:szCs w:val="21"/>
          <w:u w:color="000000"/>
          <w:rtl w:val="0"/>
          <w:lang w:val="en-US"/>
          <w14:textFill>
            <w14:solidFill>
              <w14:srgbClr w14:val="000000"/>
            </w14:solidFill>
          </w14:textFill>
        </w:rPr>
        <w:t>Respectfully submitted,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