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1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June 6, 2026</w:t>
      </w:r>
    </w:p>
    <w:p>
      <w:pPr>
        <w:pStyle w:val="Body"/>
        <w:spacing w:after="80"/>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Honorable Mike Levin</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U.S. House of Representatives</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2352 Rayburn House Office Building</w:t>
      </w:r>
    </w:p>
    <w:p>
      <w:pPr>
        <w:pStyle w:val="Body"/>
        <w:spacing w:after="1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Washington, DC 20515</w:t>
      </w:r>
    </w:p>
    <w:p>
      <w:pPr>
        <w:pStyle w:val="Body"/>
        <w:spacing w:after="80"/>
        <w:rPr>
          <w:outline w:val="0"/>
          <w:color w:val="000000"/>
          <w:u w:color="000000"/>
          <w14:textFill>
            <w14:solidFill>
              <w14:srgbClr w14:val="000000"/>
            </w14:solidFill>
          </w14:textFill>
        </w:rPr>
      </w:pPr>
    </w:p>
    <w:p>
      <w:pPr>
        <w:pStyle w:val="Body"/>
        <w:spacing w:after="160"/>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RE: Request to Condition Support for City of Encinitas FSP and CRISI Grant Applications on SANDAG Compatibility Confirmation </w:t>
      </w:r>
      <w:r>
        <w:rPr>
          <w:b w:val="1"/>
          <w:bCs w:val="1"/>
          <w:outline w:val="0"/>
          <w:color w:val="000000"/>
          <w:u w:color="000000"/>
          <w:rtl w:val="0"/>
          <w:lang w:val="en-US"/>
          <w14:textFill>
            <w14:solidFill>
              <w14:srgbClr w14:val="000000"/>
            </w14:solidFill>
          </w14:textFill>
        </w:rPr>
        <w:t xml:space="preserve">— </w:t>
      </w:r>
      <w:r>
        <w:rPr>
          <w:b w:val="1"/>
          <w:bCs w:val="1"/>
          <w:outline w:val="0"/>
          <w:color w:val="000000"/>
          <w:u w:color="000000"/>
          <w:rtl w:val="0"/>
          <w:lang w:val="it-IT"/>
          <w14:textFill>
            <w14:solidFill>
              <w14:srgbClr w14:val="000000"/>
            </w14:solidFill>
          </w14:textFill>
        </w:rPr>
        <w:t>Leucadia At-Grade Crossings</w:t>
      </w:r>
    </w:p>
    <w:p>
      <w:pPr>
        <w:pStyle w:val="Body"/>
        <w:spacing w:after="1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Dear Representative Levin:</w:t>
      </w:r>
    </w:p>
    <w:p>
      <w:pPr>
        <w:pStyle w:val="Body"/>
        <w:spacing w:after="1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As your constituents and community stakeholders in Leucadia, we write to request that your office condition any support for the City of Encinitas</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FSP-National and CRISI applications for the Leucadia At-Grade Pedestrian Crossing Project on one specific requirement: written confirmation from SANDAG that the proposed at-grade crossings at Grandview and Phoebe Streets are compatible with the North Coast Corridor double-track program before any federal award is made.</w:t>
      </w:r>
    </w:p>
    <w:p>
      <w:pPr>
        <w:pStyle w:val="Body"/>
        <w:spacing w:after="1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We are not asking you to oppose federal rail investment in our district. We are asking you to protect the integrity of it.</w:t>
      </w:r>
    </w:p>
    <w:p>
      <w:pPr>
        <w:pStyle w:val="Body"/>
        <w:spacing w:before="200" w:after="80"/>
        <w:rPr>
          <w:outline w:val="0"/>
          <w:color w:val="000000"/>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1.  The City</w:t>
      </w:r>
      <w:r>
        <w:rPr>
          <w:b w:val="1"/>
          <w:bCs w:val="1"/>
          <w:outline w:val="0"/>
          <w:color w:val="000000"/>
          <w:sz w:val="22"/>
          <w:szCs w:val="22"/>
          <w:u w:color="000000"/>
          <w:rtl w:val="1"/>
          <w14:textFill>
            <w14:solidFill>
              <w14:srgbClr w14:val="000000"/>
            </w14:solidFill>
          </w14:textFill>
        </w:rPr>
        <w:t>’</w:t>
      </w:r>
      <w:r>
        <w:rPr>
          <w:b w:val="1"/>
          <w:bCs w:val="1"/>
          <w:outline w:val="0"/>
          <w:color w:val="000000"/>
          <w:sz w:val="22"/>
          <w:szCs w:val="22"/>
          <w:u w:color="000000"/>
          <w:rtl w:val="0"/>
          <w:lang w:val="en-US"/>
          <w14:textFill>
            <w14:solidFill>
              <w14:srgbClr w14:val="000000"/>
            </w14:solidFill>
          </w14:textFill>
        </w:rPr>
        <w:t>s Own Engineer Acknowledged the Stranded Investment Risk</w:t>
      </w:r>
    </w:p>
    <w:p>
      <w:pPr>
        <w:pStyle w:val="Body"/>
        <w:spacing w:after="1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On May 4, 2026, City Senior Engineer Carlos Baldenegro, P.E. wrote in official correspondence:</w:t>
      </w:r>
    </w:p>
    <w:p>
      <w:pPr>
        <w:pStyle w:val="Body"/>
        <w:pBdr>
          <w:top w:val="nil"/>
          <w:left w:val="single" w:color="c00000" w:sz="12" w:space="6" w:shadow="0" w:frame="0"/>
          <w:bottom w:val="nil"/>
          <w:right w:val="nil"/>
        </w:pBdr>
        <w:spacing w:after="160"/>
        <w:ind w:left="480" w:firstLine="0"/>
        <w:rPr>
          <w:outline w:val="0"/>
          <w:color w:val="000000"/>
          <w:u w:color="000000"/>
          <w14:textFill>
            <w14:solidFill>
              <w14:srgbClr w14:val="000000"/>
            </w14:solidFill>
          </w14:textFill>
        </w:rPr>
      </w:pPr>
      <w:r>
        <w:rPr>
          <w:i w:val="1"/>
          <w:iCs w:val="1"/>
          <w:outline w:val="0"/>
          <w:color w:val="000000"/>
          <w:u w:color="000000"/>
          <w:rtl w:val="1"/>
          <w:lang w:val="ar-SA" w:bidi="ar-SA"/>
          <w14:textFill>
            <w14:solidFill>
              <w14:srgbClr w14:val="000000"/>
            </w14:solidFill>
          </w14:textFill>
        </w:rPr>
        <w:t>“</w:t>
      </w:r>
      <w:r>
        <w:rPr>
          <w:i w:val="1"/>
          <w:iCs w:val="1"/>
          <w:outline w:val="0"/>
          <w:color w:val="000000"/>
          <w:u w:color="000000"/>
          <w:rtl w:val="0"/>
          <w:lang w:val="en-US"/>
          <w14:textFill>
            <w14:solidFill>
              <w14:srgbClr w14:val="000000"/>
            </w14:solidFill>
          </w14:textFill>
        </w:rPr>
        <w:t>Going through the expense of building structures above or below ground only to have to partially or fully remove/modify them to accommodate the second track would be a waste of resources given what we know about [SANDAG</w:t>
      </w:r>
      <w:r>
        <w:rPr>
          <w:i w:val="1"/>
          <w:iCs w:val="1"/>
          <w:outline w:val="0"/>
          <w:color w:val="000000"/>
          <w:u w:color="000000"/>
          <w:rtl w:val="1"/>
          <w14:textFill>
            <w14:solidFill>
              <w14:srgbClr w14:val="000000"/>
            </w14:solidFill>
          </w14:textFill>
        </w:rPr>
        <w:t>’</w:t>
      </w:r>
      <w:r>
        <w:rPr>
          <w:i w:val="1"/>
          <w:iCs w:val="1"/>
          <w:outline w:val="0"/>
          <w:color w:val="000000"/>
          <w:u w:color="000000"/>
          <w:rtl w:val="0"/>
          <w:lang w:val="en-US"/>
          <w14:textFill>
            <w14:solidFill>
              <w14:srgbClr w14:val="000000"/>
            </w14:solidFill>
          </w14:textFill>
        </w:rPr>
        <w:t>s upcoming double-track project].</w:t>
      </w:r>
      <w:r>
        <w:rPr>
          <w:i w:val="1"/>
          <w:iCs w:val="1"/>
          <w:outline w:val="0"/>
          <w:color w:val="000000"/>
          <w:u w:color="000000"/>
          <w:rtl w:val="0"/>
          <w14:textFill>
            <w14:solidFill>
              <w14:srgbClr w14:val="000000"/>
            </w14:solidFill>
          </w14:textFill>
        </w:rPr>
        <w:t>”</w:t>
      </w:r>
    </w:p>
    <w:p>
      <w:pPr>
        <w:pStyle w:val="Body"/>
        <w:spacing w:after="1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He then used SANDAG</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 xml:space="preserve">s track alignment uncertainty as justification for at-grade crossings instead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which face the identical conflict. SANDAG</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$166 million Batiquitos Lagoon Double Track Project is actively under construction heading toward the Leucadia corridor. The engineer confirmed SANDAG has not yet determined which side of the existing track the second track will go. The city is asking for federal dollars before that question is resolved.</w:t>
      </w:r>
    </w:p>
    <w:p>
      <w:pPr>
        <w:pStyle w:val="Body"/>
        <w:spacing w:after="1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Furthermore, the city</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 xml:space="preserve">s own CPUC filing </w:t>
      </w:r>
      <w:r>
        <w:rPr>
          <w:outline w:val="0"/>
          <w:color w:val="000000"/>
          <w:u w:color="000000"/>
          <w:rtl w:val="0"/>
          <w:lang w:val="en-US"/>
          <w14:textFill>
            <w14:solidFill>
              <w14:srgbClr w14:val="000000"/>
            </w14:solidFill>
          </w14:textFill>
        </w:rPr>
        <w:t xml:space="preserve">— </w:t>
      </w:r>
      <w:r>
        <w:rPr>
          <w:outline w:val="0"/>
          <w:color w:val="000000"/>
          <w:u w:color="000000"/>
          <w:rtl w:val="0"/>
          <w:lang w:val="it-IT"/>
          <w14:textFill>
            <w14:solidFill>
              <w14:srgbClr w14:val="000000"/>
            </w14:solidFill>
          </w14:textFill>
        </w:rPr>
        <w:t xml:space="preserve">Application 25-03-014, Decision 26-02-010, page 7, Rule 3.7(c)(2), fn. 11 </w:t>
      </w:r>
      <w:r>
        <w:rPr>
          <w:outline w:val="0"/>
          <w:color w:val="000000"/>
          <w:u w:color="000000"/>
          <w:rtl w:val="0"/>
          <w:lang w:val="en-US"/>
          <w14:textFill>
            <w14:solidFill>
              <w14:srgbClr w14:val="000000"/>
            </w14:solidFill>
          </w14:textFill>
        </w:rPr>
        <w:t xml:space="preserve">— </w:t>
      </w:r>
      <w:r>
        <w:rPr>
          <w:outline w:val="0"/>
          <w:color w:val="000000"/>
          <w:u w:color="000000"/>
          <w:rtl w:val="0"/>
          <w:lang w:val="da-DK"/>
          <w14:textFill>
            <w14:solidFill>
              <w14:srgbClr w14:val="000000"/>
            </w14:solidFill>
          </w14:textFill>
        </w:rPr>
        <w:t>cited SANDAG</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double-track expansion as a reason grade separation was not practicable. The city used SANDAG</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plans to block the better solution, then applied for federal money for the inferior one in the same corridor.</w:t>
      </w:r>
    </w:p>
    <w:p>
      <w:pPr>
        <w:pStyle w:val="Body"/>
        <w:spacing w:before="200" w:after="80"/>
        <w:rPr>
          <w:outline w:val="0"/>
          <w:color w:val="000000"/>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2.  Project Is Not Ready for Federal Capital Commitment</w:t>
      </w:r>
    </w:p>
    <w:p>
      <w:pPr>
        <w:pStyle w:val="Body"/>
        <w:spacing w:after="1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As of this month the city confirmed project design is approximately 30% complete. The city has no confirmed vendor for the Pedestrian Audible Warning System (PAWS)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the noise mitigation technology the city has publicly committed is a prerequisite for the project. The primary U.S. manufacturer of the system specified in the project design, Quiet Zone Technologies of Benbrook, Texas, has gone out of business. Edmonds, Washington paid $421,000 for the same technology; it fails in wet weather and cannot be repaired. The city</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position is that a replacement vendor can be found. That is an assumption, not a demonstrated technical capacity required for federal award.</w:t>
      </w:r>
    </w:p>
    <w:p>
      <w:pPr>
        <w:pStyle w:val="Body"/>
        <w:spacing w:before="200" w:after="80"/>
        <w:rPr>
          <w:outline w:val="0"/>
          <w:color w:val="000000"/>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3.  SANDAG Has Not Confirmed Compatibility </w:t>
      </w:r>
      <w:r>
        <w:rPr>
          <w:b w:val="1"/>
          <w:bCs w:val="1"/>
          <w:outline w:val="0"/>
          <w:color w:val="000000"/>
          <w:sz w:val="22"/>
          <w:szCs w:val="22"/>
          <w:u w:color="000000"/>
          <w:rtl w:val="0"/>
          <w:lang w:val="en-US"/>
          <w14:textFill>
            <w14:solidFill>
              <w14:srgbClr w14:val="000000"/>
            </w14:solidFill>
          </w14:textFill>
        </w:rPr>
        <w:t xml:space="preserve">— </w:t>
      </w:r>
      <w:r>
        <w:rPr>
          <w:b w:val="1"/>
          <w:bCs w:val="1"/>
          <w:outline w:val="0"/>
          <w:color w:val="000000"/>
          <w:sz w:val="22"/>
          <w:szCs w:val="22"/>
          <w:u w:color="000000"/>
          <w:rtl w:val="0"/>
          <w14:textFill>
            <w14:solidFill>
              <w14:srgbClr w14:val="000000"/>
            </w14:solidFill>
          </w14:textFill>
        </w:rPr>
        <w:t>NCTD</w:t>
      </w:r>
      <w:r>
        <w:rPr>
          <w:b w:val="1"/>
          <w:bCs w:val="1"/>
          <w:outline w:val="0"/>
          <w:color w:val="000000"/>
          <w:sz w:val="22"/>
          <w:szCs w:val="22"/>
          <w:u w:color="000000"/>
          <w:rtl w:val="1"/>
          <w14:textFill>
            <w14:solidFill>
              <w14:srgbClr w14:val="000000"/>
            </w14:solidFill>
          </w14:textFill>
        </w:rPr>
        <w:t>’</w:t>
      </w:r>
      <w:r>
        <w:rPr>
          <w:b w:val="1"/>
          <w:bCs w:val="1"/>
          <w:outline w:val="0"/>
          <w:color w:val="000000"/>
          <w:sz w:val="22"/>
          <w:szCs w:val="22"/>
          <w:u w:color="000000"/>
          <w:rtl w:val="0"/>
          <w:lang w:val="en-US"/>
          <w14:textFill>
            <w14:solidFill>
              <w14:srgbClr w14:val="000000"/>
            </w14:solidFill>
          </w14:textFill>
        </w:rPr>
        <w:t>s Support Does Not Substitute</w:t>
      </w:r>
    </w:p>
    <w:p>
      <w:pPr>
        <w:pStyle w:val="Body"/>
        <w:spacing w:after="16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We understand NCTD filed a letter of support with the application. NCTD operates the existing single track. SANDAG is the agency constructing the second track. Their positions are not interchangeable. FRA should have written confirmation from SANDAG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not just NCTD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that the proposed at-grade crossings are compatible with the North Coast Corridor double-track program. That confirmation does not exist in any public document.</w:t>
      </w:r>
    </w:p>
    <w:p>
      <w:pPr>
        <w:pStyle w:val="Body"/>
        <w:spacing w:after="80"/>
        <w:rPr>
          <w:outline w:val="0"/>
          <w:color w:val="000000"/>
          <w:u w:color="000000"/>
          <w14:textFill>
            <w14:solidFill>
              <w14:srgbClr w14:val="000000"/>
            </w14:solidFill>
          </w14:textFill>
        </w:rPr>
      </w:pPr>
    </w:p>
    <w:p>
      <w:pPr>
        <w:pStyle w:val="Body"/>
        <w:spacing w:before="200" w:after="80"/>
        <w:rPr>
          <w:outline w:val="0"/>
          <w:color w:val="000000"/>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Our Request</w:t>
      </w:r>
    </w:p>
    <w:p>
      <w:pPr>
        <w:pStyle w:val="Body"/>
        <w:spacing w:after="20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We ask your office to add one condition to any formal support communication to FRA: that SANDAG compatibility with the North Coast Corridor double-track program be confirmed in writing before any award is made under FR-FSP-25-006 or FR-CRS-26-001. This protects the integrity of the federal investment and ensures that LOSSAN corridor dollars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which you have worked hard to secure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are not spent on infrastructure that may need to be removed before the end of its useful life.</w:t>
      </w:r>
    </w:p>
    <w:p>
      <w:pPr>
        <w:pStyle w:val="Body"/>
        <w:spacing w:after="20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We are available to provide supporting documentation including the Baldenegro correspondence and CPUC engineering drawings at your request.</w:t>
      </w:r>
    </w:p>
    <w:p>
      <w:pPr>
        <w:pStyle w:val="Body"/>
        <w:spacing w:after="20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Respectfully submitted,</w:t>
      </w:r>
    </w:p>
    <w:p>
      <w:pPr>
        <w:pStyle w:val="Body"/>
        <w:spacing w:after="240"/>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[Name]</w:t>
      </w:r>
    </w:p>
    <w:p>
      <w:pPr>
        <w:pStyle w:val="Body"/>
        <w:rPr>
          <w:outline w:val="0"/>
          <w:color w:val="000000"/>
          <w:u w:color="000000"/>
          <w14:textFill>
            <w14:solidFill>
              <w14:srgbClr w14:val="000000"/>
            </w14:solidFill>
          </w14:textFill>
        </w:rPr>
      </w:pPr>
      <w:r>
        <w:rPr>
          <w:outline w:val="0"/>
          <w:color w:val="000000"/>
          <w:u w:color="000000"/>
          <w:rtl w:val="0"/>
          <w:lang w:val="it-IT"/>
          <w14:textFill>
            <w14:solidFill>
              <w14:srgbClr w14:val="000000"/>
            </w14:solidFill>
          </w14:textFill>
        </w:rPr>
        <w:t>Better Crossings Leucadia</w:t>
      </w:r>
    </w:p>
    <w:p>
      <w:pPr>
        <w:pStyle w:val="Body"/>
        <w:rPr>
          <w:outline w:val="0"/>
          <w:color w:val="000000"/>
          <w:u w:color="000000"/>
          <w14:textFill>
            <w14:solidFill>
              <w14:srgbClr w14:val="000000"/>
            </w14:solidFill>
          </w14:textFill>
        </w:rPr>
      </w:pPr>
      <w:r>
        <w:rPr>
          <w:outline w:val="0"/>
          <w:color w:val="000000"/>
          <w:u w:color="000000"/>
          <w:rtl w:val="0"/>
          <w:lang w:val="it-IT"/>
          <w14:textFill>
            <w14:solidFill>
              <w14:srgbClr w14:val="000000"/>
            </w14:solidFill>
          </w14:textFill>
        </w:rPr>
        <w:t>bettercrossingsleucadia@gmail.com</w:t>
      </w:r>
    </w:p>
    <w:p>
      <w:pPr>
        <w:pStyle w:val="Body"/>
        <w:spacing w:after="200"/>
      </w:pPr>
      <w:r>
        <w:rPr>
          <w:outline w:val="0"/>
          <w:color w:val="000000"/>
          <w:u w:color="000000"/>
          <w:rtl w:val="0"/>
          <w:lang w:val="it-IT"/>
          <w14:textFill>
            <w14:solidFill>
              <w14:srgbClr w14:val="000000"/>
            </w14:solidFill>
          </w14:textFill>
        </w:rPr>
        <w:t>bettercrossingsleucadia.com</w:t>
      </w:r>
    </w:p>
    <w:sectPr>
      <w:headerReference w:type="default" r:id="rId4"/>
      <w:footerReference w:type="default" r:id="rId5"/>
      <w:pgSz w:w="12240" w:h="15840" w:orient="portrait"/>
      <w:pgMar w:top="1080" w:right="1260" w:bottom="1080" w:left="12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