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CE76" w14:textId="77777777" w:rsidR="0064463F" w:rsidRPr="00601180" w:rsidRDefault="00000000">
      <w:pPr>
        <w:spacing w:after="160"/>
        <w:rPr>
          <w:color w:val="000000" w:themeColor="text1"/>
        </w:rPr>
      </w:pPr>
      <w:r w:rsidRPr="00601180">
        <w:rPr>
          <w:color w:val="000000" w:themeColor="text1"/>
        </w:rPr>
        <w:t>June 7, 2026</w:t>
      </w:r>
    </w:p>
    <w:p w14:paraId="675D5A35" w14:textId="77777777" w:rsidR="0064463F" w:rsidRPr="00601180" w:rsidRDefault="0064463F">
      <w:pPr>
        <w:spacing w:after="80"/>
        <w:rPr>
          <w:color w:val="000000" w:themeColor="text1"/>
        </w:rPr>
      </w:pPr>
    </w:p>
    <w:p w14:paraId="035A9F30" w14:textId="77777777" w:rsidR="0064463F" w:rsidRPr="00601180" w:rsidRDefault="00000000">
      <w:pPr>
        <w:rPr>
          <w:color w:val="000000" w:themeColor="text1"/>
        </w:rPr>
      </w:pPr>
      <w:r w:rsidRPr="00601180">
        <w:rPr>
          <w:color w:val="000000" w:themeColor="text1"/>
        </w:rPr>
        <w:t>Mayor Bruce Ehlers and Members of the Encinitas City Council</w:t>
      </w:r>
    </w:p>
    <w:p w14:paraId="4699B88C" w14:textId="77777777" w:rsidR="0064463F" w:rsidRPr="00601180" w:rsidRDefault="00000000">
      <w:pPr>
        <w:rPr>
          <w:color w:val="000000" w:themeColor="text1"/>
        </w:rPr>
      </w:pPr>
      <w:r w:rsidRPr="00601180">
        <w:rPr>
          <w:color w:val="000000" w:themeColor="text1"/>
        </w:rPr>
        <w:t>Encinitas City Hall</w:t>
      </w:r>
    </w:p>
    <w:p w14:paraId="1249B0F9" w14:textId="77777777" w:rsidR="0064463F" w:rsidRPr="00601180" w:rsidRDefault="00000000">
      <w:pPr>
        <w:rPr>
          <w:color w:val="000000" w:themeColor="text1"/>
        </w:rPr>
      </w:pPr>
      <w:r w:rsidRPr="00601180">
        <w:rPr>
          <w:color w:val="000000" w:themeColor="text1"/>
        </w:rPr>
        <w:t>505 S. Vulcan Avenue</w:t>
      </w:r>
    </w:p>
    <w:p w14:paraId="3016F954" w14:textId="77777777" w:rsidR="0064463F" w:rsidRPr="00601180" w:rsidRDefault="00000000">
      <w:pPr>
        <w:spacing w:after="160"/>
        <w:rPr>
          <w:color w:val="000000" w:themeColor="text1"/>
        </w:rPr>
      </w:pPr>
      <w:r w:rsidRPr="00601180">
        <w:rPr>
          <w:color w:val="000000" w:themeColor="text1"/>
        </w:rPr>
        <w:t>Encinitas, CA 92024</w:t>
      </w:r>
    </w:p>
    <w:p w14:paraId="7C67E02E" w14:textId="77777777" w:rsidR="0064463F" w:rsidRPr="00601180" w:rsidRDefault="0064463F">
      <w:pPr>
        <w:spacing w:after="80"/>
        <w:rPr>
          <w:color w:val="000000" w:themeColor="text1"/>
        </w:rPr>
      </w:pPr>
    </w:p>
    <w:p w14:paraId="38104EA8" w14:textId="77777777" w:rsidR="0064463F" w:rsidRPr="00601180" w:rsidRDefault="00000000">
      <w:pPr>
        <w:spacing w:after="160"/>
        <w:rPr>
          <w:color w:val="000000" w:themeColor="text1"/>
        </w:rPr>
      </w:pPr>
      <w:r w:rsidRPr="00601180">
        <w:rPr>
          <w:b/>
          <w:bCs/>
          <w:color w:val="000000" w:themeColor="text1"/>
        </w:rPr>
        <w:t>RE: Request to Withdraw or Amend Federal Grant Applications and Pivot to Grade Separation for Leucadia Crossings (Grandview St. &amp; Phoebe St.)</w:t>
      </w:r>
    </w:p>
    <w:p w14:paraId="64A645F1" w14:textId="77777777" w:rsidR="0064463F" w:rsidRPr="00601180" w:rsidRDefault="00000000">
      <w:pPr>
        <w:spacing w:after="160"/>
        <w:rPr>
          <w:color w:val="000000" w:themeColor="text1"/>
        </w:rPr>
      </w:pPr>
      <w:r w:rsidRPr="00601180">
        <w:rPr>
          <w:color w:val="000000" w:themeColor="text1"/>
        </w:rPr>
        <w:t>Dear Mayor Ehlers and Members of the City Council:</w:t>
      </w:r>
    </w:p>
    <w:p w14:paraId="043A886D" w14:textId="3DB70EAC" w:rsidR="0064463F" w:rsidRPr="00601180" w:rsidRDefault="00000000" w:rsidP="00601180">
      <w:pPr>
        <w:spacing w:after="160"/>
        <w:rPr>
          <w:color w:val="000000" w:themeColor="text1"/>
        </w:rPr>
      </w:pPr>
      <w:r w:rsidRPr="00601180">
        <w:rPr>
          <w:color w:val="000000" w:themeColor="text1"/>
        </w:rPr>
        <w:t>We, the undersigned residents, property owners, and business owners of Leucadia and Encinitas, write to express our profound concern over the City’s ongoing push to secure federal FSP and CRISI grant funding for the installation of at-grade pedestrian crossings at Grandview and Phoebe Streets. While the community stands united in the belief that Leucadia needs safe, legal rail access, the current at-grade proposal represents an unviable engineering path that exposes the City to fiscal liability, environmental litigation, and wasted municipal matching funds. We urge the City Council to withdraw or amend these federal applications and instruct the Engineering Department to coordinate a permanent, grade-separated solution.</w:t>
      </w:r>
    </w:p>
    <w:p w14:paraId="549065E8" w14:textId="77777777" w:rsidR="0064463F" w:rsidRPr="00601180" w:rsidRDefault="00000000">
      <w:pPr>
        <w:spacing w:before="200" w:after="80"/>
        <w:rPr>
          <w:color w:val="000000" w:themeColor="text1"/>
        </w:rPr>
      </w:pPr>
      <w:r w:rsidRPr="00601180">
        <w:rPr>
          <w:b/>
          <w:bCs/>
          <w:color w:val="000000" w:themeColor="text1"/>
          <w:sz w:val="22"/>
          <w:szCs w:val="22"/>
        </w:rPr>
        <w:t>1.  Fiscal Liability and Infrastructure Stranding</w:t>
      </w:r>
    </w:p>
    <w:p w14:paraId="42A26AD8" w14:textId="77777777" w:rsidR="0064463F" w:rsidRPr="00601180" w:rsidRDefault="00000000">
      <w:pPr>
        <w:spacing w:after="160"/>
        <w:rPr>
          <w:color w:val="000000" w:themeColor="text1"/>
        </w:rPr>
      </w:pPr>
      <w:r w:rsidRPr="00601180">
        <w:rPr>
          <w:color w:val="000000" w:themeColor="text1"/>
        </w:rPr>
        <w:t>The City’s own Senior Engineer, Carlos Baldenegro, P.E., acknowledged in official written correspondence on May 4, 2026:</w:t>
      </w:r>
    </w:p>
    <w:p w14:paraId="6BE9BA15" w14:textId="77777777" w:rsidR="0064463F" w:rsidRPr="00601180" w:rsidRDefault="00000000">
      <w:pPr>
        <w:pBdr>
          <w:left w:val="single" w:sz="12" w:space="8" w:color="C00000"/>
        </w:pBdr>
        <w:spacing w:after="160"/>
        <w:ind w:left="480"/>
        <w:rPr>
          <w:color w:val="000000" w:themeColor="text1"/>
        </w:rPr>
      </w:pPr>
      <w:r w:rsidRPr="00601180">
        <w:rPr>
          <w:i/>
          <w:iCs/>
          <w:color w:val="000000" w:themeColor="text1"/>
        </w:rPr>
        <w:t xml:space="preserve">“SANDAG is not sure about what side of the existing track they will construct the new track… Thus, building at-grade </w:t>
      </w:r>
      <w:proofErr w:type="gramStart"/>
      <w:r w:rsidRPr="00601180">
        <w:rPr>
          <w:i/>
          <w:iCs/>
          <w:color w:val="000000" w:themeColor="text1"/>
        </w:rPr>
        <w:t>at this time</w:t>
      </w:r>
      <w:proofErr w:type="gramEnd"/>
      <w:r w:rsidRPr="00601180">
        <w:rPr>
          <w:i/>
          <w:iCs/>
          <w:color w:val="000000" w:themeColor="text1"/>
        </w:rPr>
        <w:t xml:space="preserve"> makes the most economic sense and meets the current uncertainty.”</w:t>
      </w:r>
    </w:p>
    <w:p w14:paraId="6001EA4D" w14:textId="32BAAEAF" w:rsidR="0064463F" w:rsidRPr="00601180" w:rsidRDefault="00000000" w:rsidP="00601180">
      <w:pPr>
        <w:spacing w:after="160"/>
        <w:rPr>
          <w:color w:val="000000" w:themeColor="text1"/>
        </w:rPr>
      </w:pPr>
      <w:r w:rsidRPr="00601180">
        <w:rPr>
          <w:color w:val="000000" w:themeColor="text1"/>
        </w:rPr>
        <w:t xml:space="preserve">The engineer also acknowledged that building permanent grade-separated structures would require them to be “partially or fully removed/modified to accommodate the second track,” calling that outcome “a waste of resources.” The same logic applies to at-grade crossings, which face the identical double-track conflict. SANDAG’s $166 million </w:t>
      </w:r>
      <w:proofErr w:type="spellStart"/>
      <w:r w:rsidRPr="00601180">
        <w:rPr>
          <w:color w:val="000000" w:themeColor="text1"/>
        </w:rPr>
        <w:t>Batiquitos</w:t>
      </w:r>
      <w:proofErr w:type="spellEnd"/>
      <w:r w:rsidRPr="00601180">
        <w:rPr>
          <w:color w:val="000000" w:themeColor="text1"/>
        </w:rPr>
        <w:t xml:space="preserve"> Lagoon Double Track Project is actively under construction heading toward the Leucadia corridor. The City’s own engineering timeline acknowledges the double-track program will reach this segment within the foreseeable planning horizon. Committing local matching funds to at-grade infrastructure before SANDAG resolves its track alignment uncertainty is not fiscal stewardship — it is a gamble with public money.</w:t>
      </w:r>
    </w:p>
    <w:p w14:paraId="44868668" w14:textId="77777777" w:rsidR="0064463F" w:rsidRPr="00601180" w:rsidRDefault="00000000">
      <w:pPr>
        <w:spacing w:before="200" w:after="80"/>
        <w:rPr>
          <w:color w:val="000000" w:themeColor="text1"/>
        </w:rPr>
      </w:pPr>
      <w:r w:rsidRPr="00601180">
        <w:rPr>
          <w:b/>
          <w:bCs/>
          <w:color w:val="000000" w:themeColor="text1"/>
          <w:sz w:val="22"/>
          <w:szCs w:val="22"/>
        </w:rPr>
        <w:t>2.  Unviable Noise Mitigation and CEQA Exposure</w:t>
      </w:r>
    </w:p>
    <w:p w14:paraId="4612C7D7" w14:textId="3ECC2D04" w:rsidR="0064463F" w:rsidRPr="00601180" w:rsidRDefault="00000000" w:rsidP="00601180">
      <w:pPr>
        <w:spacing w:after="160"/>
        <w:rPr>
          <w:color w:val="000000" w:themeColor="text1"/>
        </w:rPr>
      </w:pPr>
      <w:r w:rsidRPr="00601180">
        <w:rPr>
          <w:color w:val="000000" w:themeColor="text1"/>
        </w:rPr>
        <w:t xml:space="preserve">The City’s reliance on a Categorical Exemption to bypass full environmental review represents a significant legal vulnerability. A public health brief by Natalie Muth, MD, MPH, formally entered into the city record, documents that these crossings will introduce mandatory train horn events into a dense coastal residential neighborhood day and night. The </w:t>
      </w:r>
      <w:proofErr w:type="gramStart"/>
      <w:r w:rsidRPr="00601180">
        <w:rPr>
          <w:color w:val="000000" w:themeColor="text1"/>
        </w:rPr>
        <w:t>City</w:t>
      </w:r>
      <w:proofErr w:type="gramEnd"/>
      <w:r w:rsidRPr="00601180">
        <w:rPr>
          <w:color w:val="000000" w:themeColor="text1"/>
        </w:rPr>
        <w:t xml:space="preserve"> has publicly committed that there will be no project without a Pedestrian Audible Warning System (PAWS). Yet as of this month, the </w:t>
      </w:r>
      <w:proofErr w:type="gramStart"/>
      <w:r w:rsidRPr="00601180">
        <w:rPr>
          <w:color w:val="000000" w:themeColor="text1"/>
        </w:rPr>
        <w:t>City</w:t>
      </w:r>
      <w:proofErr w:type="gramEnd"/>
      <w:r w:rsidRPr="00601180">
        <w:rPr>
          <w:color w:val="000000" w:themeColor="text1"/>
        </w:rPr>
        <w:t xml:space="preserve"> has no confirmed vendor for that system. Quiet Zone Technologies of Benbrook, Texas — the manufacturer of the system specified in the project design — has gone out of business. The real-world consequence of this failure is playing out in Edmonds, Washington, where a $421,000 wayside horn system cannot be repaired, forcing reversion to full 110-decibel locomotive horns. Proceeding with a Categorical Exemption while the central noise mitigation strategy has no confirmed vendor exposes Encinitas to immediate environmental litigation from affected residents.</w:t>
      </w:r>
    </w:p>
    <w:p w14:paraId="59894A36" w14:textId="77777777" w:rsidR="0064463F" w:rsidRPr="00601180" w:rsidRDefault="00000000">
      <w:pPr>
        <w:spacing w:before="200" w:after="80"/>
        <w:rPr>
          <w:color w:val="000000" w:themeColor="text1"/>
        </w:rPr>
      </w:pPr>
      <w:r w:rsidRPr="00601180">
        <w:rPr>
          <w:b/>
          <w:bCs/>
          <w:color w:val="000000" w:themeColor="text1"/>
          <w:sz w:val="22"/>
          <w:szCs w:val="22"/>
        </w:rPr>
        <w:t>3.  A Glaring Inequality in Council Policy</w:t>
      </w:r>
    </w:p>
    <w:p w14:paraId="6E17C837" w14:textId="39E7CA32" w:rsidR="0064463F" w:rsidRPr="00601180" w:rsidRDefault="00000000" w:rsidP="00601180">
      <w:pPr>
        <w:spacing w:after="160"/>
        <w:rPr>
          <w:color w:val="000000" w:themeColor="text1"/>
        </w:rPr>
      </w:pPr>
      <w:r w:rsidRPr="00601180">
        <w:rPr>
          <w:color w:val="000000" w:themeColor="text1"/>
        </w:rPr>
        <w:t xml:space="preserve">The City Council cannot coherently maintain that at-grade crossings are acceptable for Leucadia while simultaneously pursuing permanent, grade-separated underpasses as the correct engineering standard for Cardiff-by-the-Sea via the Verdi Avenue project. Cardiff studied the identical at-grade and wayside horn approach at Montgomery Avenue and rejected it in favor of a proper undercrossing. Leucadia has </w:t>
      </w:r>
      <w:r w:rsidRPr="00601180">
        <w:rPr>
          <w:color w:val="000000" w:themeColor="text1"/>
        </w:rPr>
        <w:lastRenderedPageBreak/>
        <w:t xml:space="preserve">endured over five years of economic disruption from the $65 million Streetscape project. To force a third consecutive construction cycle for an at-grade crossing, followed by a further round when SANDAG’s double-track program requires modification or removal, is a profound disservice to Leucadia’s residents and businesses. Leucadia deserves the same engineering standard the </w:t>
      </w:r>
      <w:proofErr w:type="gramStart"/>
      <w:r w:rsidRPr="00601180">
        <w:rPr>
          <w:color w:val="000000" w:themeColor="text1"/>
        </w:rPr>
        <w:t>City</w:t>
      </w:r>
      <w:proofErr w:type="gramEnd"/>
      <w:r w:rsidRPr="00601180">
        <w:rPr>
          <w:color w:val="000000" w:themeColor="text1"/>
        </w:rPr>
        <w:t xml:space="preserve"> has committed to for Cardiff.</w:t>
      </w:r>
    </w:p>
    <w:p w14:paraId="2168C9A4" w14:textId="77777777" w:rsidR="0064463F" w:rsidRPr="00601180" w:rsidRDefault="00000000">
      <w:pPr>
        <w:spacing w:before="200" w:after="80"/>
        <w:rPr>
          <w:color w:val="000000" w:themeColor="text1"/>
        </w:rPr>
      </w:pPr>
      <w:r w:rsidRPr="00601180">
        <w:rPr>
          <w:b/>
          <w:bCs/>
          <w:color w:val="000000" w:themeColor="text1"/>
          <w:sz w:val="22"/>
          <w:szCs w:val="22"/>
        </w:rPr>
        <w:t>4.  The CRISI Deadline Is June 22, 2026</w:t>
      </w:r>
    </w:p>
    <w:p w14:paraId="4C0C52F2" w14:textId="77777777" w:rsidR="0064463F" w:rsidRPr="00601180" w:rsidRDefault="00000000">
      <w:pPr>
        <w:spacing w:after="160"/>
        <w:rPr>
          <w:color w:val="000000" w:themeColor="text1"/>
        </w:rPr>
      </w:pPr>
      <w:r w:rsidRPr="00601180">
        <w:rPr>
          <w:color w:val="000000" w:themeColor="text1"/>
        </w:rPr>
        <w:t>The City’s CRISI application (FR-CRS-26-001) has a submission deadline of June 22, 2026. The FSP-National application (FR-FSP-25-006) is already under federal review. We are formally opposing both applications through direct submissions to the Federal Railroad Administration. The Council has a narrow window to withdraw or amend these applications before federal review is complete and before the CRISI deadline passes. Acting now preserves the City’s ability to reapply with a grade-separated design that will score higher in FRA evaluation criteria and deliver a permanent solution.</w:t>
      </w:r>
    </w:p>
    <w:p w14:paraId="0FD6FADD" w14:textId="77777777" w:rsidR="0064463F" w:rsidRPr="00601180" w:rsidRDefault="0064463F">
      <w:pPr>
        <w:spacing w:after="80"/>
        <w:rPr>
          <w:color w:val="000000" w:themeColor="text1"/>
        </w:rPr>
      </w:pPr>
    </w:p>
    <w:p w14:paraId="4562A7CF" w14:textId="77777777" w:rsidR="0064463F" w:rsidRPr="00601180" w:rsidRDefault="00000000">
      <w:pPr>
        <w:pBdr>
          <w:top w:val="single" w:sz="6" w:space="4" w:color="1F4E79"/>
        </w:pBdr>
        <w:spacing w:before="160" w:after="80"/>
        <w:rPr>
          <w:color w:val="000000" w:themeColor="text1"/>
        </w:rPr>
      </w:pPr>
      <w:r w:rsidRPr="00601180">
        <w:rPr>
          <w:b/>
          <w:bCs/>
          <w:color w:val="000000" w:themeColor="text1"/>
          <w:sz w:val="22"/>
          <w:szCs w:val="22"/>
        </w:rPr>
        <w:t>We Respectfully Request That the City Council:</w:t>
      </w:r>
    </w:p>
    <w:p w14:paraId="74CC7A86" w14:textId="77777777" w:rsidR="0064463F" w:rsidRPr="00601180" w:rsidRDefault="00000000">
      <w:pPr>
        <w:spacing w:after="120"/>
        <w:ind w:left="600" w:hanging="300"/>
        <w:rPr>
          <w:color w:val="000000" w:themeColor="text1"/>
        </w:rPr>
      </w:pPr>
      <w:r w:rsidRPr="00601180">
        <w:rPr>
          <w:b/>
          <w:bCs/>
          <w:color w:val="000000" w:themeColor="text1"/>
        </w:rPr>
        <w:t xml:space="preserve">—  </w:t>
      </w:r>
      <w:r w:rsidRPr="00601180">
        <w:rPr>
          <w:color w:val="000000" w:themeColor="text1"/>
        </w:rPr>
        <w:t xml:space="preserve">Instruct staff to withdraw or amend the active FSP-National and CRISI grant applications before the June 22, </w:t>
      </w:r>
      <w:proofErr w:type="gramStart"/>
      <w:r w:rsidRPr="00601180">
        <w:rPr>
          <w:color w:val="000000" w:themeColor="text1"/>
        </w:rPr>
        <w:t>2026</w:t>
      </w:r>
      <w:proofErr w:type="gramEnd"/>
      <w:r w:rsidRPr="00601180">
        <w:rPr>
          <w:color w:val="000000" w:themeColor="text1"/>
        </w:rPr>
        <w:t xml:space="preserve"> CRISI deadline to prevent the commitment of federal and local matching capital to infrastructure that the City’s own engineer has acknowledged may need to be removed or modified for SANDAG’s double-track program.</w:t>
      </w:r>
    </w:p>
    <w:p w14:paraId="63856E13" w14:textId="77777777" w:rsidR="0064463F" w:rsidRPr="00601180" w:rsidRDefault="00000000">
      <w:pPr>
        <w:spacing w:after="120"/>
        <w:ind w:left="600" w:hanging="300"/>
        <w:rPr>
          <w:color w:val="000000" w:themeColor="text1"/>
        </w:rPr>
      </w:pPr>
      <w:r w:rsidRPr="00601180">
        <w:rPr>
          <w:b/>
          <w:bCs/>
          <w:color w:val="000000" w:themeColor="text1"/>
        </w:rPr>
        <w:t xml:space="preserve">—  </w:t>
      </w:r>
      <w:r w:rsidRPr="00601180">
        <w:rPr>
          <w:color w:val="000000" w:themeColor="text1"/>
        </w:rPr>
        <w:t>Formally engage with SANDAG leadership to resolve the track alignment uncertainty for the Leucadia corridor segment before any further federal grant applications are submitted for this project.</w:t>
      </w:r>
    </w:p>
    <w:p w14:paraId="10DCB170" w14:textId="77777777" w:rsidR="0064463F" w:rsidRPr="00601180" w:rsidRDefault="00000000">
      <w:pPr>
        <w:spacing w:after="120"/>
        <w:ind w:left="600" w:hanging="300"/>
        <w:rPr>
          <w:color w:val="000000" w:themeColor="text1"/>
        </w:rPr>
      </w:pPr>
      <w:r w:rsidRPr="00601180">
        <w:rPr>
          <w:b/>
          <w:bCs/>
          <w:color w:val="000000" w:themeColor="text1"/>
        </w:rPr>
        <w:t xml:space="preserve">—  </w:t>
      </w:r>
      <w:r w:rsidRPr="00601180">
        <w:rPr>
          <w:color w:val="000000" w:themeColor="text1"/>
        </w:rPr>
        <w:t>Commit to a permanent, grade-separated pedestrian crossing solution for Grandview and Phoebe Streets — consistent with the standard already adopted for Cardiff — and direct staff to pursue federal funding for that solution in a subsequent grant cycle.</w:t>
      </w:r>
    </w:p>
    <w:p w14:paraId="7D8FC3B1" w14:textId="77777777" w:rsidR="0064463F" w:rsidRPr="00601180" w:rsidRDefault="0064463F">
      <w:pPr>
        <w:spacing w:after="160"/>
        <w:rPr>
          <w:color w:val="000000" w:themeColor="text1"/>
        </w:rPr>
      </w:pPr>
    </w:p>
    <w:p w14:paraId="0F534B60" w14:textId="77777777" w:rsidR="0064463F" w:rsidRPr="00601180" w:rsidRDefault="00000000">
      <w:pPr>
        <w:spacing w:after="160"/>
        <w:rPr>
          <w:color w:val="000000" w:themeColor="text1"/>
        </w:rPr>
      </w:pPr>
      <w:r w:rsidRPr="00601180">
        <w:rPr>
          <w:color w:val="000000" w:themeColor="text1"/>
        </w:rPr>
        <w:t>Respectfully submitted,</w:t>
      </w:r>
    </w:p>
    <w:p w14:paraId="097F4EE9" w14:textId="77777777" w:rsidR="0064463F" w:rsidRPr="00601180" w:rsidRDefault="0064463F">
      <w:pPr>
        <w:spacing w:after="240"/>
        <w:rPr>
          <w:color w:val="000000" w:themeColor="text1"/>
        </w:rPr>
      </w:pPr>
    </w:p>
    <w:p w14:paraId="7402FA7C" w14:textId="77777777" w:rsidR="0064463F" w:rsidRPr="00601180" w:rsidRDefault="00000000">
      <w:pPr>
        <w:rPr>
          <w:color w:val="000000" w:themeColor="text1"/>
        </w:rPr>
      </w:pPr>
      <w:r w:rsidRPr="00601180">
        <w:rPr>
          <w:color w:val="000000" w:themeColor="text1"/>
        </w:rPr>
        <w:t>[Name]</w:t>
      </w:r>
    </w:p>
    <w:p w14:paraId="31506FF1" w14:textId="77777777" w:rsidR="0064463F" w:rsidRPr="00601180" w:rsidRDefault="00000000">
      <w:pPr>
        <w:rPr>
          <w:color w:val="000000" w:themeColor="text1"/>
        </w:rPr>
      </w:pPr>
      <w:r w:rsidRPr="00601180">
        <w:rPr>
          <w:color w:val="000000" w:themeColor="text1"/>
        </w:rPr>
        <w:t>Better Crossings Leucadia</w:t>
      </w:r>
    </w:p>
    <w:p w14:paraId="75E344FE" w14:textId="77777777" w:rsidR="0064463F" w:rsidRPr="00601180" w:rsidRDefault="00000000">
      <w:pPr>
        <w:rPr>
          <w:color w:val="000000" w:themeColor="text1"/>
        </w:rPr>
      </w:pPr>
      <w:r w:rsidRPr="00601180">
        <w:rPr>
          <w:color w:val="000000" w:themeColor="text1"/>
        </w:rPr>
        <w:t>bettercrossingsleucadia@gmail.com</w:t>
      </w:r>
    </w:p>
    <w:p w14:paraId="24040144" w14:textId="1B1D9E48" w:rsidR="0064463F" w:rsidRPr="00601180" w:rsidRDefault="00000000" w:rsidP="00601180">
      <w:pPr>
        <w:spacing w:after="200"/>
        <w:rPr>
          <w:color w:val="000000" w:themeColor="text1"/>
        </w:rPr>
      </w:pPr>
      <w:r w:rsidRPr="00601180">
        <w:rPr>
          <w:color w:val="000000" w:themeColor="text1"/>
        </w:rPr>
        <w:t>bettercrossingsleucadia.com</w:t>
      </w:r>
    </w:p>
    <w:sectPr w:rsidR="0064463F" w:rsidRPr="00601180">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5022A"/>
    <w:multiLevelType w:val="hybridMultilevel"/>
    <w:tmpl w:val="79E249E6"/>
    <w:lvl w:ilvl="0" w:tplc="6B2E3096">
      <w:start w:val="1"/>
      <w:numFmt w:val="bullet"/>
      <w:lvlText w:val="●"/>
      <w:lvlJc w:val="left"/>
      <w:pPr>
        <w:ind w:left="720" w:hanging="360"/>
      </w:pPr>
    </w:lvl>
    <w:lvl w:ilvl="1" w:tplc="37F62256">
      <w:start w:val="1"/>
      <w:numFmt w:val="bullet"/>
      <w:lvlText w:val="○"/>
      <w:lvlJc w:val="left"/>
      <w:pPr>
        <w:ind w:left="1440" w:hanging="360"/>
      </w:pPr>
    </w:lvl>
    <w:lvl w:ilvl="2" w:tplc="BD48256A">
      <w:start w:val="1"/>
      <w:numFmt w:val="bullet"/>
      <w:lvlText w:val="■"/>
      <w:lvlJc w:val="left"/>
      <w:pPr>
        <w:ind w:left="2160" w:hanging="360"/>
      </w:pPr>
    </w:lvl>
    <w:lvl w:ilvl="3" w:tplc="D656239E">
      <w:start w:val="1"/>
      <w:numFmt w:val="bullet"/>
      <w:lvlText w:val="●"/>
      <w:lvlJc w:val="left"/>
      <w:pPr>
        <w:ind w:left="2880" w:hanging="360"/>
      </w:pPr>
    </w:lvl>
    <w:lvl w:ilvl="4" w:tplc="CC22B58E">
      <w:start w:val="1"/>
      <w:numFmt w:val="bullet"/>
      <w:lvlText w:val="○"/>
      <w:lvlJc w:val="left"/>
      <w:pPr>
        <w:ind w:left="3600" w:hanging="360"/>
      </w:pPr>
    </w:lvl>
    <w:lvl w:ilvl="5" w:tplc="98D6B6D6">
      <w:start w:val="1"/>
      <w:numFmt w:val="bullet"/>
      <w:lvlText w:val="■"/>
      <w:lvlJc w:val="left"/>
      <w:pPr>
        <w:ind w:left="4320" w:hanging="360"/>
      </w:pPr>
    </w:lvl>
    <w:lvl w:ilvl="6" w:tplc="CE9EFAB0">
      <w:start w:val="1"/>
      <w:numFmt w:val="bullet"/>
      <w:lvlText w:val="●"/>
      <w:lvlJc w:val="left"/>
      <w:pPr>
        <w:ind w:left="5040" w:hanging="360"/>
      </w:pPr>
    </w:lvl>
    <w:lvl w:ilvl="7" w:tplc="F3E65F08">
      <w:start w:val="1"/>
      <w:numFmt w:val="bullet"/>
      <w:lvlText w:val="●"/>
      <w:lvlJc w:val="left"/>
      <w:pPr>
        <w:ind w:left="5760" w:hanging="360"/>
      </w:pPr>
    </w:lvl>
    <w:lvl w:ilvl="8" w:tplc="4838F346">
      <w:start w:val="1"/>
      <w:numFmt w:val="bullet"/>
      <w:lvlText w:val="●"/>
      <w:lvlJc w:val="left"/>
      <w:pPr>
        <w:ind w:left="6480" w:hanging="360"/>
      </w:pPr>
    </w:lvl>
  </w:abstractNum>
  <w:num w:numId="1" w16cid:durableId="619538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3F"/>
    <w:rsid w:val="002A3340"/>
    <w:rsid w:val="00601180"/>
    <w:rsid w:val="0064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480E5"/>
  <w15:docId w15:val="{E37ADD1D-5DDD-5C4E-B2EA-BBBF80E7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Matthew Silverman</cp:lastModifiedBy>
  <cp:revision>2</cp:revision>
  <dcterms:created xsi:type="dcterms:W3CDTF">2026-06-07T14:29:00Z</dcterms:created>
  <dcterms:modified xsi:type="dcterms:W3CDTF">2026-06-07T14:33:00Z</dcterms:modified>
</cp:coreProperties>
</file>